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44"/>
          <w:szCs w:val="44"/>
        </w:rPr>
      </w:pPr>
      <w:bookmarkStart w:id="0" w:name="_Toc66196585"/>
    </w:p>
    <w:p>
      <w:pPr>
        <w:rPr>
          <w:rFonts w:asciiTheme="majorEastAsia" w:hAnsiTheme="majorEastAsia" w:eastAsiaTheme="majorEastAsia"/>
          <w:sz w:val="44"/>
          <w:szCs w:val="44"/>
        </w:rPr>
      </w:pPr>
    </w:p>
    <w:p>
      <w:pPr>
        <w:rPr>
          <w:rFonts w:asciiTheme="majorEastAsia" w:hAnsiTheme="majorEastAsia" w:eastAsiaTheme="majorEastAsia"/>
          <w:b/>
          <w:sz w:val="48"/>
          <w:szCs w:val="48"/>
        </w:rPr>
      </w:pPr>
      <w:bookmarkStart w:id="8" w:name="_GoBack"/>
      <w:r>
        <w:rPr>
          <w:rFonts w:hint="eastAsia" w:asciiTheme="majorEastAsia" w:hAnsiTheme="majorEastAsia" w:eastAsiaTheme="majorEastAsia"/>
          <w:b/>
          <w:sz w:val="48"/>
          <w:szCs w:val="48"/>
        </w:rPr>
        <w:t>2023年度河南省哲学社会科学规划项目</w:t>
      </w: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课 题 指 南</w:t>
      </w:r>
      <w:bookmarkEnd w:id="0"/>
    </w:p>
    <w:bookmarkEnd w:id="8"/>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楷体" w:hAnsi="楷体" w:eastAsia="楷体"/>
          <w:sz w:val="32"/>
          <w:szCs w:val="32"/>
        </w:rPr>
      </w:pPr>
      <w:r>
        <w:rPr>
          <w:rFonts w:hint="eastAsia" w:ascii="楷体" w:hAnsi="楷体" w:eastAsia="楷体"/>
          <w:sz w:val="32"/>
          <w:szCs w:val="32"/>
        </w:rPr>
        <w:t>河南省哲学社会科学工作事务中心</w:t>
      </w:r>
    </w:p>
    <w:p>
      <w:pPr>
        <w:jc w:val="center"/>
        <w:rPr>
          <w:rFonts w:ascii="楷体" w:hAnsi="楷体" w:eastAsia="楷体"/>
          <w:sz w:val="32"/>
          <w:szCs w:val="32"/>
        </w:rPr>
      </w:pPr>
      <w:r>
        <w:rPr>
          <w:rFonts w:hint="eastAsia" w:ascii="楷体" w:hAnsi="楷体" w:eastAsia="楷体"/>
          <w:sz w:val="32"/>
          <w:szCs w:val="32"/>
        </w:rPr>
        <w:t>2023年6月</w:t>
      </w:r>
    </w:p>
    <w:p>
      <w:pPr>
        <w:jc w:val="center"/>
        <w:rPr>
          <w:rFonts w:ascii="楷体" w:hAnsi="楷体" w:eastAsia="楷体"/>
          <w:sz w:val="32"/>
          <w:szCs w:val="32"/>
        </w:rPr>
      </w:pPr>
    </w:p>
    <w:p>
      <w:pPr>
        <w:jc w:val="center"/>
        <w:rPr>
          <w:rFonts w:ascii="楷体" w:hAnsi="楷体" w:eastAsia="楷体"/>
          <w:sz w:val="32"/>
          <w:szCs w:val="32"/>
        </w:rPr>
      </w:pPr>
    </w:p>
    <w:p>
      <w:pPr>
        <w:spacing w:line="560" w:lineRule="exact"/>
        <w:ind w:left="663" w:hanging="663" w:hangingChars="150"/>
        <w:contextualSpacing/>
        <w:jc w:val="center"/>
        <w:rPr>
          <w:rFonts w:asciiTheme="minorEastAsia" w:hAnsiTheme="minorEastAsia"/>
          <w:b/>
          <w:sz w:val="44"/>
          <w:szCs w:val="44"/>
        </w:rPr>
      </w:pPr>
      <w:r>
        <w:rPr>
          <w:rFonts w:hint="eastAsia" w:asciiTheme="minorEastAsia" w:hAnsiTheme="minorEastAsia"/>
          <w:b/>
          <w:sz w:val="44"/>
          <w:szCs w:val="44"/>
        </w:rPr>
        <w:t>2023年度河南省哲学社会科学规划项目</w:t>
      </w:r>
    </w:p>
    <w:p>
      <w:pPr>
        <w:spacing w:line="560" w:lineRule="exact"/>
        <w:ind w:left="663" w:hanging="663" w:hangingChars="150"/>
        <w:contextualSpacing/>
        <w:jc w:val="center"/>
        <w:rPr>
          <w:rFonts w:asciiTheme="minorEastAsia" w:hAnsiTheme="minorEastAsia"/>
          <w:b/>
          <w:sz w:val="44"/>
          <w:szCs w:val="44"/>
        </w:rPr>
      </w:pPr>
      <w:r>
        <w:rPr>
          <w:rFonts w:hint="eastAsia" w:asciiTheme="minorEastAsia" w:hAnsiTheme="minorEastAsia"/>
          <w:b/>
          <w:sz w:val="44"/>
          <w:szCs w:val="44"/>
        </w:rPr>
        <w:t>课题指南</w:t>
      </w:r>
    </w:p>
    <w:p>
      <w:pPr>
        <w:pStyle w:val="5"/>
        <w:tabs>
          <w:tab w:val="left" w:pos="426"/>
        </w:tabs>
        <w:spacing w:before="0" w:beforeAutospacing="0" w:after="0" w:afterAutospacing="0" w:line="560" w:lineRule="exact"/>
        <w:jc w:val="both"/>
        <w:rPr>
          <w:rFonts w:ascii="楷体" w:hAnsi="楷体" w:eastAsia="楷体" w:cs="楷体_GB2312"/>
          <w:b/>
          <w:sz w:val="36"/>
          <w:szCs w:val="36"/>
        </w:rPr>
      </w:pPr>
    </w:p>
    <w:p>
      <w:pPr>
        <w:pStyle w:val="5"/>
        <w:tabs>
          <w:tab w:val="left" w:pos="426"/>
        </w:tabs>
        <w:spacing w:before="0" w:beforeAutospacing="0" w:after="0" w:afterAutospacing="0" w:line="560" w:lineRule="exact"/>
        <w:jc w:val="both"/>
        <w:rPr>
          <w:rFonts w:ascii="楷体" w:hAnsi="楷体" w:eastAsia="楷体" w:cs="楷体_GB2312"/>
          <w:b/>
          <w:sz w:val="36"/>
          <w:szCs w:val="36"/>
        </w:rPr>
      </w:pPr>
      <w:r>
        <w:rPr>
          <w:rFonts w:hint="eastAsia" w:ascii="楷体" w:hAnsi="楷体" w:eastAsia="楷体" w:cs="楷体_GB2312"/>
          <w:b/>
          <w:sz w:val="36"/>
          <w:szCs w:val="36"/>
        </w:rPr>
        <w:t xml:space="preserve">    说明：本《课题指南》所列条目只规定研究范围、研究方向和研究重点，申请人可结合自身研究优势，自行拟定题目。</w:t>
      </w:r>
    </w:p>
    <w:p>
      <w:pPr>
        <w:tabs>
          <w:tab w:val="left" w:pos="567"/>
          <w:tab w:val="left" w:pos="709"/>
          <w:tab w:val="left" w:pos="851"/>
        </w:tabs>
        <w:spacing w:line="560" w:lineRule="exact"/>
        <w:rPr>
          <w:rFonts w:ascii="楷体" w:hAnsi="楷体" w:eastAsia="楷体" w:cs="楷体_GB2312"/>
          <w:b/>
          <w:kern w:val="0"/>
          <w:sz w:val="32"/>
          <w:szCs w:val="32"/>
        </w:rPr>
      </w:pPr>
      <w:bookmarkStart w:id="1" w:name="_Toc66196586"/>
    </w:p>
    <w:p>
      <w:pPr>
        <w:tabs>
          <w:tab w:val="left" w:pos="567"/>
          <w:tab w:val="left" w:pos="709"/>
          <w:tab w:val="left" w:pos="851"/>
        </w:tabs>
        <w:spacing w:line="560" w:lineRule="exact"/>
        <w:jc w:val="center"/>
        <w:rPr>
          <w:rFonts w:ascii="黑体" w:hAnsi="黑体" w:eastAsia="黑体"/>
          <w:b/>
          <w:sz w:val="36"/>
          <w:szCs w:val="36"/>
        </w:rPr>
      </w:pPr>
      <w:r>
        <w:rPr>
          <w:rFonts w:hint="eastAsia" w:ascii="黑体" w:hAnsi="黑体" w:eastAsia="黑体"/>
          <w:sz w:val="36"/>
          <w:szCs w:val="36"/>
        </w:rPr>
        <w:t>一、马克思主义·科学社会主义</w:t>
      </w:r>
      <w:bookmarkEnd w:id="1"/>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马克思主义中国化时代化的科学内涵、基本要求和历史意义研究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马克思主义中国化时代化的历史进程和基本经验研究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“两个结合”与推进马克思主义中国化时代化研究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当代国外马克思主义基础理论问题和前沿问题研究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人工智能与马克思主义实践观研究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“两个结合”与中国式现代化的文明根基研究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新时代中国共产党推进理论创新的实践路径研究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党的二十大的历史地位与重大意义研究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新时代十年伟大变革的里程碑意义研究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习近平新时代中国特色社会主义思想的学理化阐释研究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习近平新时代中国特色社会主义思想是中国式现代化的根本遵循研究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习近平新时代中国特色社会主义思想是中华文化和中国精神的时代精华研究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习近平新时代中国特色社会主义思想对马克思主义的原创性贡献研究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习近平总书记关于马克思主义指导地位及其制度化重要论述研究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习近平总书记关于党的青年工作重要论述研究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习近平总书记关于思想政治理论课重要论述研究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习近平总书记关于共同富裕重要论述研究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习近平总书记关于防范化解重大风险重要论述研究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习近平生态文明思想的传统文化渊源研究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中国式现代化理论体系的形成和发展研究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中国式现代化的中国特色、本质要求、重大原则研究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以中国式现代化全面推进中华民族伟大复兴的理论与实践研究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中国式现代化的中华优秀传统文化底蕴研究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中国式现代化的历史脉络和实践路径研究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“三个务必”的逻辑基础和时代价值研究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“五个必由之路”的理论内涵与时代价值研究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“三件大事”的重大现实意义和深远历史意义研究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“两个行”的历史逻辑、理论逻辑与实践逻辑研究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中国特色社会主义制度的科学内涵、文明根基和实践进程研究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坚持和完善中国特色社会主义根本制度、基本制度、重要制度研究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全面建设社会主义现代化国家必须牢牢把握的重大原则研究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“两步走”战略安排的科学内涵和未来五年目标任务研究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中华优秀传统文化与科学社会主义价值观主张的契合性研究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坚持把马克思主义基本原理同中国具体实际相结合、同中华优秀传统文化相结合研究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中华传统美德的历史嬗变、基本精神与传承发展研究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推进文化自信自强、</w:t>
      </w:r>
      <w:r>
        <w:rPr>
          <w:rFonts w:ascii="仿宋" w:hAnsi="仿宋" w:eastAsia="仿宋"/>
          <w:sz w:val="36"/>
          <w:szCs w:val="36"/>
        </w:rPr>
        <w:t>铸就社会主义文化新辉煌</w:t>
      </w:r>
      <w:r>
        <w:rPr>
          <w:rFonts w:hint="eastAsia" w:ascii="仿宋" w:hAnsi="仿宋" w:eastAsia="仿宋"/>
          <w:sz w:val="36"/>
          <w:szCs w:val="36"/>
        </w:rPr>
        <w:t>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社会主义先进文化的河南实践研究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社会主义核心价值观融入法治建设研究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社会主义核心价值观融入社会发展研究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社会主义核心价值观融入日常生活研究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坚持守正创新的思想渊源和时代价值研究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新时代马克思主义理论学科建设研究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新时代高校马克思主义理论人才培养研究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加强新时代马克思主义学院建设研究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高校思想政治理论课加强习近平新时代中国特色社会主义思想教育教学研究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完善新时代思想政治工作体系研究</w:t>
      </w:r>
    </w:p>
    <w:p>
      <w:pPr>
        <w:pStyle w:val="11"/>
        <w:numPr>
          <w:ilvl w:val="2"/>
          <w:numId w:val="1"/>
        </w:numPr>
        <w:spacing w:line="540" w:lineRule="exact"/>
        <w:ind w:left="0" w:firstLine="705" w:firstLineChars="196"/>
        <w:rPr>
          <w:rFonts w:ascii="仿宋" w:hAnsi="仿宋" w:eastAsia="仿宋"/>
          <w:sz w:val="36"/>
          <w:szCs w:val="36"/>
        </w:rPr>
      </w:pPr>
      <w:r>
        <w:rPr>
          <w:rFonts w:ascii="仿宋" w:hAnsi="仿宋" w:eastAsia="仿宋"/>
          <w:sz w:val="36"/>
          <w:szCs w:val="36"/>
        </w:rPr>
        <w:t>新时代河南高校思想政治教育创新发展研究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河南民兵党的创新理论武装工作体系和创新模式研究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新时代推进党管武装工作创新发展研究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数字化赋能新时代民兵思想政治工作高质量发展研究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大中小学国防教育一体化研究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新时代主流思想舆论引领高校网络文化生态建设研究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当代青年的价值选择及信仰塑造研究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大中小学思想政治教育一体化建设的河南实践研究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新时代意识形态安全建设的基本经验和体系研究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新时代意识形态风险的生成机理与应对策略研究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sz w:val="36"/>
          <w:szCs w:val="36"/>
        </w:rPr>
        <w:t>新时代网络意识形态风险防范与应对策略研究</w:t>
      </w:r>
    </w:p>
    <w:p>
      <w:pPr>
        <w:pStyle w:val="11"/>
        <w:numPr>
          <w:ilvl w:val="2"/>
          <w:numId w:val="1"/>
        </w:numPr>
        <w:spacing w:line="540" w:lineRule="exact"/>
        <w:ind w:left="0" w:firstLine="705" w:firstLineChars="196"/>
        <w:rPr>
          <w:rFonts w:ascii="仿宋" w:hAnsi="仿宋" w:eastAsia="仿宋"/>
          <w:sz w:val="36"/>
          <w:szCs w:val="36"/>
        </w:rPr>
      </w:pPr>
      <w:r>
        <w:rPr>
          <w:rFonts w:hint="eastAsia" w:ascii="仿宋" w:hAnsi="仿宋" w:eastAsia="仿宋" w:cs="仿宋"/>
          <w:kern w:val="0"/>
          <w:sz w:val="36"/>
          <w:szCs w:val="36"/>
          <w:shd w:val="clear" w:color="auto" w:fill="FFFFFF"/>
        </w:rPr>
        <w:t>河南意识形态工作考核评价体系创新研究</w:t>
      </w:r>
    </w:p>
    <w:p>
      <w:pPr>
        <w:spacing w:line="560" w:lineRule="exact"/>
        <w:ind w:left="540" w:hanging="540" w:hangingChars="150"/>
        <w:jc w:val="left"/>
        <w:rPr>
          <w:rFonts w:ascii="仿宋" w:hAnsi="仿宋" w:eastAsia="仿宋"/>
          <w:sz w:val="36"/>
          <w:szCs w:val="36"/>
        </w:rPr>
      </w:pPr>
    </w:p>
    <w:p>
      <w:pPr>
        <w:spacing w:line="560" w:lineRule="exact"/>
        <w:ind w:left="540" w:hanging="540" w:hangingChars="150"/>
        <w:jc w:val="center"/>
        <w:rPr>
          <w:rFonts w:ascii="黑体" w:hAnsi="黑体" w:eastAsia="黑体"/>
          <w:sz w:val="36"/>
          <w:szCs w:val="36"/>
        </w:rPr>
      </w:pPr>
      <w:bookmarkStart w:id="2" w:name="_Toc92287228"/>
      <w:bookmarkStart w:id="3" w:name="_Toc92878075"/>
      <w:r>
        <w:rPr>
          <w:rFonts w:hint="eastAsia" w:ascii="黑体" w:hAnsi="黑体" w:eastAsia="黑体"/>
          <w:sz w:val="36"/>
          <w:szCs w:val="36"/>
        </w:rPr>
        <w:t>二、党史·党建</w:t>
      </w:r>
      <w:bookmarkEnd w:id="2"/>
      <w:bookmarkEnd w:id="3"/>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习近平新时代中国特色社会主义思想对共产党执政规律的新认识研究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习近平总书记关于党的自我革命重要论述研究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习近平总书记关于劳模精神、劳动精神、工匠精神重要论述研究</w:t>
      </w:r>
    </w:p>
    <w:p>
      <w:pPr>
        <w:pStyle w:val="11"/>
        <w:widowControl/>
        <w:numPr>
          <w:ilvl w:val="0"/>
          <w:numId w:val="2"/>
        </w:numPr>
        <w:spacing w:line="560" w:lineRule="exact"/>
        <w:ind w:firstLine="705" w:firstLineChars="196"/>
        <w:rPr>
          <w:rFonts w:ascii="仿宋" w:hAnsi="仿宋" w:eastAsia="仿宋"/>
          <w:sz w:val="36"/>
          <w:szCs w:val="36"/>
        </w:rPr>
      </w:pPr>
      <w:r>
        <w:rPr>
          <w:rFonts w:ascii="仿宋" w:hAnsi="仿宋" w:eastAsia="仿宋"/>
          <w:sz w:val="36"/>
          <w:szCs w:val="36"/>
        </w:rPr>
        <w:t>“两个确立”的</w:t>
      </w:r>
      <w:r>
        <w:rPr>
          <w:rFonts w:hint="eastAsia" w:ascii="仿宋" w:hAnsi="仿宋" w:eastAsia="仿宋"/>
          <w:sz w:val="36"/>
          <w:szCs w:val="36"/>
        </w:rPr>
        <w:t>理论逻辑、历史逻辑和实践逻辑研究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“党的全面领导”的理论建构与制度路径研究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“大党独有难题”的内涵、成因与破解之道研究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新时代新征程中国共产党的使命任务研究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中国共产党制度治党的历史经验研究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中华优秀传统文化是我们党创新理论的“根”的深刻内涵及实践价值研究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团结奋斗的时代要求研究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深入推进新时代党的建设新的伟大工程研究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中国共产党人才工作的理论与实践研究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中国共产党加强能力作风建设的历史考察与基本经验研究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新时代党应对重大风险挑战的实践经验与能力建设研究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新时代中国共产党领导力建设的实践与经验研究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中国共产党以伟大自我革命引领伟大社会革命的总要求研究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cs="Times New Roman"/>
          <w:sz w:val="36"/>
          <w:szCs w:val="36"/>
        </w:rPr>
        <w:t>中国共产党跳出</w:t>
      </w:r>
      <w:r>
        <w:rPr>
          <w:rFonts w:hint="eastAsia" w:ascii="仿宋" w:hAnsi="仿宋" w:eastAsia="仿宋"/>
          <w:sz w:val="36"/>
          <w:szCs w:val="36"/>
        </w:rPr>
        <w:t>治乱兴衰</w:t>
      </w:r>
      <w:r>
        <w:rPr>
          <w:rFonts w:hint="eastAsia" w:ascii="仿宋" w:hAnsi="仿宋" w:eastAsia="仿宋" w:cs="Times New Roman"/>
          <w:sz w:val="36"/>
          <w:szCs w:val="36"/>
        </w:rPr>
        <w:t>历史周期率“两个答案”的内在逻辑关系研究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中国共产党以自我革命跳出治乱兴衰历史周期率的实践研究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新时代党的自我革命制度规范体系构建研究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中国共产党开展党内集中学习教育的实践与经验研究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中国共产党调查研究的历史实践及制度建设研究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走好新时代网上群众路线研究</w:t>
      </w:r>
    </w:p>
    <w:p>
      <w:pPr>
        <w:pStyle w:val="11"/>
        <w:widowControl/>
        <w:numPr>
          <w:ilvl w:val="0"/>
          <w:numId w:val="2"/>
        </w:numPr>
        <w:spacing w:line="560" w:lineRule="exact"/>
        <w:ind w:firstLine="705" w:firstLineChars="196"/>
        <w:rPr>
          <w:rFonts w:ascii="仿宋" w:hAnsi="仿宋" w:eastAsia="仿宋"/>
          <w:sz w:val="36"/>
          <w:szCs w:val="36"/>
        </w:rPr>
      </w:pPr>
      <w:r>
        <w:rPr>
          <w:rFonts w:ascii="仿宋" w:hAnsi="仿宋" w:eastAsia="仿宋"/>
          <w:sz w:val="36"/>
          <w:szCs w:val="36"/>
        </w:rPr>
        <w:t>两个“永远在路上”的内在逻辑与实现路径</w:t>
      </w:r>
      <w:r>
        <w:rPr>
          <w:rFonts w:hint="eastAsia" w:ascii="仿宋" w:hAnsi="仿宋" w:eastAsia="仿宋"/>
          <w:sz w:val="36"/>
          <w:szCs w:val="36"/>
        </w:rPr>
        <w:t>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新时代十年河南全面从严治党的成就及经验研究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新时代完善党内法规制度体系研究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党内监督与各类监督贯通协调的体制机制研究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新时代坚持不敢腐、不能腐、不想腐一体推进研究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新时代传承弘扬伟大建党精神研究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中国共产党人发扬斗争精神、提高斗争本领研究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奋斗精神的时代价值与践行弘扬研究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青年奋斗精神培育研究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中国共产党人精神谱系的历史脉络、鲜明特质和赓续传承研究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用习近平新时代中国特色社会主义思想凝心铸魂研究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红色文化涵养党员领导干部初心使命研究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用红色精神铸魂育人研究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红旗渠精神的生成逻辑、主要内容与当代价值研究</w:t>
      </w:r>
    </w:p>
    <w:p>
      <w:pPr>
        <w:pStyle w:val="11"/>
        <w:widowControl/>
        <w:numPr>
          <w:ilvl w:val="0"/>
          <w:numId w:val="2"/>
        </w:numPr>
        <w:spacing w:line="560" w:lineRule="exact"/>
        <w:ind w:firstLine="705" w:firstLineChars="196"/>
        <w:rPr>
          <w:rFonts w:ascii="仿宋" w:hAnsi="仿宋" w:eastAsia="仿宋"/>
          <w:sz w:val="36"/>
          <w:szCs w:val="36"/>
        </w:rPr>
      </w:pPr>
      <w:r>
        <w:rPr>
          <w:rFonts w:ascii="仿宋" w:hAnsi="仿宋" w:eastAsia="仿宋"/>
          <w:sz w:val="36"/>
          <w:szCs w:val="36"/>
        </w:rPr>
        <w:t>红旗渠精神</w:t>
      </w:r>
      <w:r>
        <w:rPr>
          <w:rFonts w:hint="eastAsia" w:ascii="仿宋" w:hAnsi="仿宋" w:eastAsia="仿宋"/>
          <w:sz w:val="36"/>
          <w:szCs w:val="36"/>
        </w:rPr>
        <w:t>融入</w:t>
      </w:r>
      <w:r>
        <w:rPr>
          <w:rFonts w:ascii="仿宋" w:hAnsi="仿宋" w:eastAsia="仿宋"/>
          <w:sz w:val="36"/>
          <w:szCs w:val="36"/>
        </w:rPr>
        <w:t>青少年</w:t>
      </w:r>
      <w:r>
        <w:rPr>
          <w:rFonts w:hint="eastAsia" w:ascii="仿宋" w:hAnsi="仿宋" w:eastAsia="仿宋"/>
          <w:sz w:val="36"/>
          <w:szCs w:val="36"/>
        </w:rPr>
        <w:t>思想道德教育研究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大别山革命老区红色遗址保护与利用研究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竹沟红色文化的丰富内涵与时代价值研究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焦裕禄精神的县域治理价值研究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红二十五军长征河南段革命文物调查、整理与保护利用研究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新时代高校“智慧党建”体系构建与功能作用研究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河南数字党建的发展现状与提升路径研究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基层党建质量评价体系与优化路径研究</w:t>
      </w:r>
    </w:p>
    <w:p>
      <w:pPr>
        <w:widowControl/>
        <w:numPr>
          <w:ilvl w:val="0"/>
          <w:numId w:val="2"/>
        </w:numPr>
        <w:shd w:val="clear" w:color="auto" w:fill="FFFFFF"/>
        <w:spacing w:line="560" w:lineRule="exact"/>
        <w:ind w:firstLine="705" w:firstLineChars="196"/>
        <w:rPr>
          <w:rFonts w:ascii="仿宋" w:hAnsi="仿宋" w:eastAsia="仿宋" w:cs="Calibri"/>
          <w:sz w:val="36"/>
          <w:szCs w:val="36"/>
        </w:rPr>
      </w:pPr>
      <w:r>
        <w:rPr>
          <w:rFonts w:hint="eastAsia" w:ascii="仿宋" w:hAnsi="仿宋" w:eastAsia="仿宋" w:cs="Calibri"/>
          <w:sz w:val="36"/>
          <w:szCs w:val="36"/>
        </w:rPr>
        <w:t>河南民办高校党建工作评价体系研究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以党建引领基层治理体系和治理能力现代化研究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增强党组织政治功能和组织功能研究</w:t>
      </w:r>
    </w:p>
    <w:p>
      <w:pPr>
        <w:pStyle w:val="11"/>
        <w:widowControl/>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新时代农村基层党组织制度效能提升研究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提升农村党组织在乡村振兴中的组织力研究</w:t>
      </w:r>
    </w:p>
    <w:p>
      <w:pPr>
        <w:pStyle w:val="11"/>
        <w:numPr>
          <w:ilvl w:val="0"/>
          <w:numId w:val="2"/>
        </w:numPr>
        <w:spacing w:line="560" w:lineRule="exact"/>
        <w:ind w:firstLine="705" w:firstLineChars="196"/>
        <w:rPr>
          <w:rFonts w:ascii="仿宋" w:hAnsi="仿宋" w:eastAsia="仿宋"/>
          <w:sz w:val="36"/>
          <w:szCs w:val="36"/>
        </w:rPr>
      </w:pPr>
      <w:r>
        <w:rPr>
          <w:rFonts w:hint="eastAsia" w:ascii="仿宋" w:hAnsi="仿宋" w:eastAsia="仿宋"/>
          <w:sz w:val="36"/>
          <w:szCs w:val="36"/>
        </w:rPr>
        <w:t>共青团为党育人的百年历史与经验启示研究</w:t>
      </w:r>
    </w:p>
    <w:p>
      <w:pPr>
        <w:spacing w:line="560" w:lineRule="exact"/>
        <w:ind w:left="540" w:hanging="540" w:hangingChars="150"/>
        <w:jc w:val="left"/>
        <w:rPr>
          <w:rFonts w:ascii="仿宋" w:hAnsi="仿宋" w:eastAsia="仿宋"/>
          <w:sz w:val="36"/>
          <w:szCs w:val="36"/>
        </w:rPr>
      </w:pPr>
      <w:bookmarkStart w:id="4" w:name="_Toc92287229"/>
      <w:bookmarkStart w:id="5" w:name="_Toc92878076"/>
    </w:p>
    <w:p>
      <w:pPr>
        <w:spacing w:line="560" w:lineRule="exact"/>
        <w:ind w:left="540" w:hanging="540" w:hangingChars="150"/>
        <w:jc w:val="center"/>
        <w:rPr>
          <w:rFonts w:ascii="黑体" w:hAnsi="黑体" w:eastAsia="黑体"/>
          <w:sz w:val="36"/>
          <w:szCs w:val="36"/>
        </w:rPr>
      </w:pPr>
      <w:r>
        <w:rPr>
          <w:rFonts w:hint="eastAsia" w:ascii="黑体" w:hAnsi="黑体" w:eastAsia="黑体"/>
          <w:sz w:val="36"/>
          <w:szCs w:val="36"/>
        </w:rPr>
        <w:t>三、哲学</w:t>
      </w:r>
      <w:bookmarkEnd w:id="4"/>
      <w:bookmarkEnd w:id="5"/>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马克思主义哲学经典著作研究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马克思主义哲学前沿问题研究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马克思主义哲学中国化的百年历程与基本经验研究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马克思主义哲学中国化时代化研究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中国哲学的当代海外传播研究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当代中国马克思主义的中华文明根基研究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习近平新时代中国特色社会主义思想的哲学基础研究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sz w:val="36"/>
          <w:szCs w:val="36"/>
        </w:rPr>
        <w:t>习近平总书记关于全人类共同价值的重要论述研究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sz w:val="36"/>
          <w:szCs w:val="36"/>
        </w:rPr>
        <w:t>广泛践行社会主义核心价值观研究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人民至上与唯物史观新发展研究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中华文明蕴含的全人类共同价值研究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中华文明特质与形态的中国哲学基础研究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中华文明起源与中华民族多元一体演进格局研究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中华文明的精神特质和文化精髓研究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中国道路的深厚文化底蕴研究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中华文明宇宙观、天下观、社会观、道德观研究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新时代弘扬劳动精神、奋斗精神、奉献精神、创造精神、勤俭节约精神研究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中国共产党历史主动精神的哲学阐释及传承路径研究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中国共产党跳出历史周期率“两个答案”的哲学基础研究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中国式现代化的哲学意蕴研究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人类文明新形态的哲学基础研究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科学思想史与当代科技观研究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文化哲学的基础理论研究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中华优秀传统文化传承创新研究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人类命运共同体的哲学基础研究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中国传统农耕文化与中国精神研究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中国共产党治国理政的哲学智慧研究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当代医学伦理前沿问题研究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当代应用伦理前沿问题研究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当代前沿科技伦理问题研究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中华传统家庭观与新时代家教家风研究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中国传统审美文化研究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当代中国美学前沿问题研究</w:t>
      </w:r>
    </w:p>
    <w:p>
      <w:pPr>
        <w:pStyle w:val="11"/>
        <w:widowControl/>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科技哲学前沿问题研究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逻辑学前沿问题研究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数学哲学前沿问题研究</w:t>
      </w:r>
    </w:p>
    <w:p>
      <w:pPr>
        <w:pStyle w:val="11"/>
        <w:numPr>
          <w:ilvl w:val="0"/>
          <w:numId w:val="3"/>
        </w:numPr>
        <w:spacing w:line="560" w:lineRule="exact"/>
        <w:ind w:firstLine="705" w:firstLineChars="196"/>
        <w:rPr>
          <w:rFonts w:ascii="仿宋" w:hAnsi="仿宋" w:eastAsia="仿宋" w:cs="Times New Roman"/>
          <w:sz w:val="36"/>
          <w:szCs w:val="36"/>
        </w:rPr>
      </w:pPr>
      <w:r>
        <w:rPr>
          <w:rFonts w:hint="eastAsia" w:ascii="仿宋" w:hAnsi="仿宋" w:eastAsia="仿宋" w:cs="Times New Roman"/>
          <w:sz w:val="36"/>
          <w:szCs w:val="36"/>
        </w:rPr>
        <w:t>人工智能的哲学问题研究</w:t>
      </w:r>
    </w:p>
    <w:p>
      <w:pPr>
        <w:pStyle w:val="5"/>
        <w:widowControl w:val="0"/>
        <w:tabs>
          <w:tab w:val="left" w:pos="426"/>
        </w:tabs>
        <w:spacing w:before="0" w:beforeAutospacing="0" w:after="0" w:afterAutospacing="0" w:line="560" w:lineRule="exact"/>
        <w:jc w:val="both"/>
        <w:rPr>
          <w:rFonts w:ascii="仿宋_GB2312" w:eastAsiaTheme="minorEastAsia"/>
          <w:sz w:val="36"/>
          <w:szCs w:val="36"/>
        </w:rPr>
      </w:pPr>
    </w:p>
    <w:p>
      <w:pPr>
        <w:spacing w:line="560" w:lineRule="exact"/>
        <w:ind w:left="540" w:hanging="540" w:hangingChars="150"/>
        <w:jc w:val="center"/>
        <w:rPr>
          <w:rFonts w:ascii="黑体" w:hAnsi="黑体" w:eastAsia="黑体"/>
          <w:sz w:val="36"/>
          <w:szCs w:val="36"/>
        </w:rPr>
      </w:pPr>
      <w:r>
        <w:rPr>
          <w:rFonts w:hint="eastAsia" w:ascii="黑体" w:hAnsi="黑体" w:eastAsia="黑体"/>
          <w:sz w:val="36"/>
          <w:szCs w:val="36"/>
        </w:rPr>
        <w:t>四、经济学</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习近平经济思想研究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扩大内需战略同供给侧结构性改革有机结合研究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双循环</w:t>
      </w:r>
      <w:r>
        <w:rPr>
          <w:rFonts w:ascii="仿宋" w:hAnsi="仿宋" w:eastAsia="仿宋"/>
          <w:sz w:val="36"/>
          <w:szCs w:val="36"/>
        </w:rPr>
        <w:t>视域下国内价值链促进全球价值链重构的理论研究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新时期构建现代化经济体系的目标与重点任务研究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深化要素市场化改革、建立高标准市场体系的重点任务研究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中国共产党百年农村土地政策的历史沿革与发展研究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股权财政与政府投资基金发展研究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财政支持建设现代产业体系研究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房地产与地方财政的关系研究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cstheme="minorBidi"/>
          <w:sz w:val="36"/>
          <w:szCs w:val="36"/>
        </w:rPr>
        <w:t>住房销售制度改革及推行现房销售政策研究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河南加快构建新发展格局的路径研究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河南建设现代化经济体系研究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河南深入实施“十大战略”研究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河南推动文化和旅游深度融合发展研究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河南推进数字经济与实体经济深度融合研究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河南深化金融监管与系统性风险防范研究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引导金融机构加大对小微企业、科技创新、绿色发展等领域支持力度研究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河南建设高效顺畅的流通体系研究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河南推动战略性新兴产业集群高质量发展研究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河南加快传统产业、新兴产业、未来产业发展研究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河南构建产业集群发展格局研究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河南建设开放强省研究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米字形高铁拓展成网助推现代化河南建设研究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深化郑州—卢森堡“空中丝绸之路”建设研究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郑州加快建设国家创新高地、先进制造业高地、开放高地、人才高地研究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郑州建设国际化现代化综合交通物流枢纽研究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河南营造市场化、法治化、国际化一流营商环境研究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河南优化民营企业发展环境研究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河南做好基层“三保”工作研究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河南建设国家重要人才中心和创新高地研究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河南新型能源体系建设研究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中原城市群综合交通体系结构优化研究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河南加快打造世界级食品产业集群的对策研究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提升河南制造业产业链韧性的思路和对策研究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河南实施制造业强省建设的市场支撑机制研究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推进质量强省、标准河南建设研究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加快设计河南建设研究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河南推动</w:t>
      </w:r>
      <w:r>
        <w:rPr>
          <w:rFonts w:ascii="仿宋" w:hAnsi="仿宋" w:eastAsia="仿宋"/>
          <w:sz w:val="36"/>
          <w:szCs w:val="36"/>
        </w:rPr>
        <w:t>现代服务业同先进制造业、现代农业深度融合研究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河南推进生物经济发展研究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数智赋能河南“专精特新”企业高质量发展研究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河南做大做强跨境电商研究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新型基础设施建设推动河南经济高质量发展研究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河南加快构建现代化产业体系研究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河南粮食安全问题研究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河南加快建设农业强省研究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河南建设农业强省的投入及支持保护政策研究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“粮食生产根本在耕地、命脉在水利、出路在科技、动力在政策”的内在逻辑与实现路径研究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河南做强特色农业研究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河南推进农业数字化绿色化转型研究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河南构建具有市场竞争力的多元食物供给体系研究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河南增强脱贫地区和脱贫群众内生发展动力研究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河南全面推进乡村振兴研究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河南统筹推进中国式农业农村现代化研究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河南扎实推进共同富裕研究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河南推进以县城为重要载体的新型城镇化建设研究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河南壮大新型农村集体经济研究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河南扎实推进科技强农研究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乡村振兴背景下返乡入乡创业高质量发展路径研究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河南特色农产品现代流通体系建设研究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河南推进城乡融合发展路径研究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河南发展乡村特色文化产业研究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河南数字乡村建设研究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乡村振兴背景下河南促进农民增收致富研究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河南提高产业链供应链稳定性和竞争力研究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河南推动创新链</w:t>
      </w:r>
      <w:r>
        <w:rPr>
          <w:rFonts w:ascii="仿宋" w:hAnsi="仿宋" w:eastAsia="仿宋"/>
          <w:sz w:val="36"/>
          <w:szCs w:val="36"/>
        </w:rPr>
        <w:t>产业链资金链人才链深度融合研究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河南发展壮大数字经济核心产业研究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“双碳”目标下河南工业企业战略转型研究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河南加快发展口岸经济研究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河南加快发展临港经济研究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双循环背景下河南物流枢纽布局优化研究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河南提升新就业形态劳动者就业质量研究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河南构建大数据交易统一市场研究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河南实施城市更新路径研究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河南深化国资国企改革研究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河南国有企业“数智化”转型实施路径研究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河南培育发展养老、育幼、医疗、健康、家政等服务消费业态研究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河南大力发展平台经济、首发经济、共享经济、信息消费等新型消费模式研究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河南建设国家枢纽型技术交易市场研究</w:t>
      </w:r>
    </w:p>
    <w:p>
      <w:pPr>
        <w:pStyle w:val="11"/>
        <w:numPr>
          <w:ilvl w:val="2"/>
          <w:numId w:val="4"/>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河南推进山水林田湖草沙一体化保护和系统治理研究</w:t>
      </w:r>
    </w:p>
    <w:p>
      <w:pPr>
        <w:widowControl/>
        <w:spacing w:line="560" w:lineRule="exact"/>
        <w:ind w:left="540" w:hanging="540" w:hangingChars="150"/>
        <w:jc w:val="left"/>
        <w:rPr>
          <w:rFonts w:ascii="仿宋_GB2312"/>
          <w:sz w:val="36"/>
          <w:szCs w:val="36"/>
        </w:rPr>
      </w:pPr>
    </w:p>
    <w:p>
      <w:pPr>
        <w:widowControl/>
        <w:spacing w:line="560" w:lineRule="exact"/>
        <w:ind w:left="540" w:hanging="540" w:hangingChars="150"/>
        <w:jc w:val="center"/>
        <w:rPr>
          <w:rFonts w:ascii="黑体" w:hAnsi="黑体" w:eastAsia="黑体"/>
          <w:sz w:val="36"/>
          <w:szCs w:val="36"/>
        </w:rPr>
      </w:pPr>
      <w:r>
        <w:rPr>
          <w:rFonts w:hint="eastAsia" w:ascii="黑体" w:hAnsi="黑体" w:eastAsia="黑体"/>
          <w:sz w:val="36"/>
          <w:szCs w:val="36"/>
        </w:rPr>
        <w:t>五、政治学</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国家安全体系和能力现代化研究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新时代伟大变革的政治学意蕴研究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中国共产党的政治品格和政治优势研究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中国共产党治国理政经验的国际传播研究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中国式现代化进程中维护社会稳定的政治机制研究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经济高质量发展的政治基础和政治保障研究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新时代中国共产党国际形象建设研究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全过程人民民主的理论与实践研究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政协协商民主与全过程人民民主的内在逻辑研究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新型举国体制的理论与实践研究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社会治理共同体的理论与实践研究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中国全球治理实践及国际话语权塑造与提升研究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“一带一路”建设中的前沿问题研究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人工智能在社会公共治理中的异化及风险规制研究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地方党政机构职责体系优化研究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新时代政府监管体系创新研究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国家监察制度的历史经验与当代实践研究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加强人民政协专门协商机构制度化、规范化、程序化等功能建设研究</w:t>
      </w:r>
    </w:p>
    <w:p>
      <w:pPr>
        <w:pStyle w:val="11"/>
        <w:widowControl/>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推进政协协商与基层协商有效衔接的机制创新研究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完善党的大统战格局研究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总体国家安全观视域下的数字主权研究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市域社会治理现代化的体制机制创新研究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乡村振兴背景下基层治理创新研究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深入实施区域协调发展战略的体制机制研究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河南基层政府治理现代化指标体系构建研究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河南应用大数据技术提升政府治理效能研究</w:t>
      </w:r>
    </w:p>
    <w:p>
      <w:pPr>
        <w:pStyle w:val="11"/>
        <w:numPr>
          <w:ilvl w:val="0"/>
          <w:numId w:val="5"/>
        </w:numPr>
        <w:spacing w:line="560" w:lineRule="exact"/>
        <w:ind w:left="0" w:firstLine="705" w:firstLineChars="196"/>
        <w:rPr>
          <w:rFonts w:ascii="仿宋" w:hAnsi="仿宋" w:eastAsia="仿宋"/>
          <w:sz w:val="36"/>
          <w:szCs w:val="36"/>
        </w:rPr>
      </w:pPr>
      <w:r>
        <w:rPr>
          <w:rFonts w:hint="eastAsia" w:ascii="仿宋" w:hAnsi="仿宋" w:eastAsia="仿宋"/>
          <w:sz w:val="36"/>
          <w:szCs w:val="36"/>
        </w:rPr>
        <w:t>河南基层治理数字化转型的优化路径研究</w:t>
      </w:r>
    </w:p>
    <w:p>
      <w:pPr>
        <w:spacing w:line="560" w:lineRule="exact"/>
        <w:rPr>
          <w:rFonts w:ascii="宋体" w:hAnsi="宋体" w:cs="宋体"/>
          <w:kern w:val="0"/>
          <w:sz w:val="36"/>
          <w:szCs w:val="36"/>
        </w:rPr>
      </w:pPr>
    </w:p>
    <w:p>
      <w:pPr>
        <w:widowControl/>
        <w:spacing w:line="560" w:lineRule="exact"/>
        <w:ind w:left="540" w:hanging="540" w:hangingChars="150"/>
        <w:jc w:val="center"/>
        <w:rPr>
          <w:rFonts w:ascii="黑体" w:hAnsi="黑体" w:eastAsia="黑体"/>
          <w:sz w:val="36"/>
          <w:szCs w:val="36"/>
        </w:rPr>
      </w:pPr>
      <w:r>
        <w:rPr>
          <w:rFonts w:hint="eastAsia" w:ascii="黑体" w:hAnsi="黑体" w:eastAsia="黑体"/>
          <w:sz w:val="36"/>
          <w:szCs w:val="36"/>
        </w:rPr>
        <w:t>六、法学</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习近平法治思想研究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cs="仿宋"/>
          <w:kern w:val="0"/>
          <w:sz w:val="36"/>
          <w:szCs w:val="36"/>
          <w:shd w:val="clear" w:color="auto" w:fill="FFFFFF"/>
        </w:rPr>
        <w:t>习近平法治思想引领法治河南建设的实践研究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马克思主义法治思想中国化时代化研究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全面依法治国的战略部署与深化实施研究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中华优秀传统法律文化的传承与发展研究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中华法制文明溯源研究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河南古代法制史与中华法系研究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党内法规体系、效力、治理效能研究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巡视巡察与依法治理研究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中国法治国际传播研究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国家安全地方立法问题研究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总体国家安全观视域下金融科技监管法律问题研究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河南区域协同立法研究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区域一体化中的公平竞争审查制度研究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人民法庭参与基层社会治理研究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新型犯罪防控机制研究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数字资产财产权属与交易规则研究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算法治理中的法律前沿问题研究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网络治理法治化研究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元宇宙的法律问题研究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应急财政规范化、法治化研究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公用企业社会责任法律化研究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社区居家养老服务法律制度的困境与对策研究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数字经济中知识产权保护规则变革研究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数字弱势群体信息权益保护研究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高水平推进法治河南、平安河南建设研究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河南提升社会治理法治化水平研究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法治化营商环境中涉案企业合规研究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《中华人民共和国黄河保护法》实施研究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河南湿地保护立法现状、问题与对策研究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种业知识产权保护研究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河南重点领域涉外法律风险与应对研究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人工智能的刑事风险防范及出罪事由研究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河南商事调解机制的法治化研究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河南诉源治理机制研究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传统文化数字化衍生品的知识产权问题研究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河南乡村民主法治建设研究</w:t>
      </w:r>
    </w:p>
    <w:p>
      <w:pPr>
        <w:pStyle w:val="11"/>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基层治理现代化进程中社区警务多元主体参与问题研究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数字时代数据安全法治问题研究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商业数据的法律保护问题研究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民法典与民事诉讼法协同实施问题研究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农村集体经济发展的政策支持与法治保障协同机制研究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网络平台法律风险防控机制研究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河南生物多样性保护立法研究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政府购买公共法律服务问题研究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河南数字法治政府建设路径研究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河南推进城乡公共法律服务均衡化研究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网络直播营销的法律规制研究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新就业形态中的劳动者权益保护研究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国有企业构建大风控管理体系问题研究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未成年人网络安全风险及防范措施研究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环境公益诉讼制度完善研究</w:t>
      </w:r>
    </w:p>
    <w:p>
      <w:pPr>
        <w:pStyle w:val="11"/>
        <w:widowControl/>
        <w:numPr>
          <w:ilvl w:val="0"/>
          <w:numId w:val="6"/>
        </w:numPr>
        <w:spacing w:line="560" w:lineRule="exact"/>
        <w:ind w:firstLine="705" w:firstLineChars="196"/>
        <w:rPr>
          <w:rFonts w:ascii="仿宋" w:hAnsi="仿宋" w:eastAsia="仿宋"/>
          <w:sz w:val="36"/>
          <w:szCs w:val="36"/>
        </w:rPr>
      </w:pPr>
      <w:r>
        <w:rPr>
          <w:rFonts w:hint="eastAsia" w:ascii="仿宋" w:hAnsi="仿宋" w:eastAsia="仿宋"/>
          <w:sz w:val="36"/>
          <w:szCs w:val="36"/>
        </w:rPr>
        <w:t>河南文物保护的法律实践研究</w:t>
      </w:r>
    </w:p>
    <w:p>
      <w:pPr>
        <w:widowControl/>
        <w:spacing w:line="560" w:lineRule="exact"/>
        <w:rPr>
          <w:rFonts w:ascii="仿宋" w:hAnsi="仿宋" w:eastAsia="仿宋" w:cs="宋体"/>
          <w:kern w:val="0"/>
          <w:sz w:val="36"/>
          <w:szCs w:val="36"/>
        </w:rPr>
      </w:pPr>
    </w:p>
    <w:p>
      <w:pPr>
        <w:spacing w:line="560" w:lineRule="exact"/>
        <w:ind w:left="540" w:hanging="540" w:hangingChars="150"/>
        <w:contextualSpacing/>
        <w:jc w:val="center"/>
        <w:outlineLvl w:val="0"/>
        <w:rPr>
          <w:rFonts w:ascii="黑体" w:hAnsi="黑体" w:eastAsia="黑体"/>
          <w:sz w:val="36"/>
          <w:szCs w:val="36"/>
        </w:rPr>
      </w:pPr>
      <w:bookmarkStart w:id="6" w:name="_Toc92287235"/>
      <w:bookmarkStart w:id="7" w:name="_Toc92878082"/>
      <w:r>
        <w:rPr>
          <w:rFonts w:hint="eastAsia" w:ascii="黑体" w:hAnsi="黑体" w:eastAsia="黑体"/>
          <w:sz w:val="36"/>
          <w:szCs w:val="36"/>
        </w:rPr>
        <w:t>七、社会学</w:t>
      </w:r>
      <w:bookmarkEnd w:id="6"/>
      <w:bookmarkEnd w:id="7"/>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推动新时代河南家庭家教家风建设高质量发展研究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中国式现代化与基层社会治理研究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中国式现代化与日常生活模式变迁的机制研究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cs="仿宋"/>
          <w:kern w:val="0"/>
          <w:sz w:val="36"/>
          <w:szCs w:val="36"/>
          <w:shd w:val="clear" w:color="auto" w:fill="FFFFFF"/>
        </w:rPr>
        <w:t>中国式社会治理现代化的河南实践研究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中国传统社会思想的当代阐释</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中国式现代化进程中的河南乡村文化变迁研究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河南城镇化进程中的家庭伦理研究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人口、家庭与可持续发展研究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家庭伦理建设与生育、抚育和养老问题研究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微时代青年文化与青年亚文化研究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虚拟社会与现实社会中人际交往的比较研究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网络化时代的社会圈层现象研究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网络化时代的人际信任与合作研究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新时代“枫桥经验”与基层治理研究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河南健全网络综合治理体系研究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河南城市历史街区保护的社会学研究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河南传统村落的保护和利用研究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河南社会保障体系高质量发展研究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河南社会救助体系高质量发展研究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河南社会保险高质量发展研究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河南社会福利高质量发展研究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河南社会养老服务高质量发展研究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河南健全现代公共文化服务体系研究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乡村文化合作社赋能乡村振兴的河南实践研究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灵活就业人员权益保障问题研究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城乡两栖农民就近城镇化研究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青年择业取向的变化及趋势研究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数字时代新业态青年从业者职业发展研究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大学生就业多层次社会支持体系研究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河南完善生育支持政策体系研究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青年婚姻观的社会学研究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青年生育观的社会学研究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青少年心理健康研究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河南城市应急避难场所布局优化研究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河南提高突发公共事件处置保障能力研究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河南自然灾害应急管理模式优化路径研究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南水北调中线工程水源区生态补偿机制研究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黄河流域河南段突发环境事件风险评估及管控对策研究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提高生态环境持续改善公众参与度研究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文旅融合背景下中原文化话语体系构建研究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社会学视域下河南农村居民居住形态变化研究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河南民间传统文化的发掘和传承路径研究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中原地区村落文化遗存的创新性发展研究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志愿服务嵌入文明实践的模式与行动路径研究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新时代河南志愿服务高质量发展研究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新乡贤助力乡村振兴的内生动力机制研究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中华优秀传统文化传承与当代乡风民风建设研究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河南市域社会空间治理及现代化发展路径研究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河南基层社会工作站运行机制创新研究</w:t>
      </w:r>
    </w:p>
    <w:p>
      <w:pPr>
        <w:pStyle w:val="11"/>
        <w:numPr>
          <w:ilvl w:val="2"/>
          <w:numId w:val="7"/>
        </w:numPr>
        <w:spacing w:line="540" w:lineRule="exact"/>
        <w:ind w:left="0" w:firstLine="709" w:firstLineChars="0"/>
        <w:rPr>
          <w:rFonts w:ascii="仿宋" w:hAnsi="仿宋" w:eastAsia="仿宋"/>
          <w:sz w:val="36"/>
          <w:szCs w:val="36"/>
        </w:rPr>
      </w:pPr>
      <w:r>
        <w:rPr>
          <w:rFonts w:hint="eastAsia" w:ascii="仿宋" w:hAnsi="仿宋" w:eastAsia="仿宋"/>
          <w:sz w:val="36"/>
          <w:szCs w:val="36"/>
        </w:rPr>
        <w:t>乡村公共空间演变与村庄秩序重构研究</w:t>
      </w:r>
    </w:p>
    <w:p>
      <w:pPr>
        <w:widowControl/>
        <w:spacing w:line="560" w:lineRule="exact"/>
        <w:ind w:left="720" w:hanging="720" w:hangingChars="200"/>
        <w:jc w:val="left"/>
        <w:rPr>
          <w:rFonts w:ascii="仿宋" w:hAnsi="仿宋" w:eastAsia="仿宋"/>
          <w:sz w:val="36"/>
          <w:szCs w:val="36"/>
        </w:rPr>
      </w:pPr>
    </w:p>
    <w:p>
      <w:pPr>
        <w:pStyle w:val="5"/>
        <w:spacing w:before="0" w:beforeAutospacing="0" w:after="0" w:afterAutospacing="0" w:line="560" w:lineRule="exact"/>
        <w:jc w:val="both"/>
        <w:rPr>
          <w:rFonts w:ascii="楷体" w:hAnsi="楷体" w:eastAsia="楷体" w:cs="楷体_GB2312"/>
          <w:b/>
          <w:sz w:val="36"/>
          <w:szCs w:val="36"/>
        </w:rPr>
      </w:pPr>
    </w:p>
    <w:p>
      <w:pPr>
        <w:pStyle w:val="5"/>
        <w:spacing w:before="0" w:beforeAutospacing="0" w:after="0" w:afterAutospacing="0" w:line="560" w:lineRule="exact"/>
        <w:jc w:val="both"/>
        <w:rPr>
          <w:rFonts w:ascii="楷体" w:hAnsi="楷体" w:eastAsia="楷体" w:cs="Times New Roman"/>
          <w:b/>
          <w:sz w:val="36"/>
          <w:szCs w:val="36"/>
        </w:rPr>
      </w:pPr>
      <w:r>
        <w:rPr>
          <w:rFonts w:hint="eastAsia" w:ascii="楷体" w:hAnsi="楷体" w:eastAsia="楷体" w:cs="楷体_GB2312"/>
          <w:b/>
          <w:sz w:val="36"/>
          <w:szCs w:val="36"/>
        </w:rPr>
        <w:t xml:space="preserve">    历史学、考古学、文学、语言学、新闻学与传播学、体育学、艺术学、教育学、图书馆·情报与文献学</w:t>
      </w:r>
    </w:p>
    <w:p>
      <w:pPr>
        <w:spacing w:line="560" w:lineRule="exact"/>
        <w:ind w:firstLine="691" w:firstLineChars="192"/>
        <w:rPr>
          <w:rFonts w:ascii="仿宋" w:hAnsi="仿宋" w:eastAsia="仿宋" w:cs="宋体"/>
          <w:sz w:val="36"/>
          <w:szCs w:val="36"/>
        </w:rPr>
      </w:pPr>
      <w:r>
        <w:rPr>
          <w:rFonts w:hint="eastAsia" w:ascii="仿宋" w:hAnsi="仿宋" w:eastAsia="仿宋" w:cs="宋体"/>
          <w:sz w:val="36"/>
          <w:szCs w:val="36"/>
        </w:rPr>
        <w:t>以上</w:t>
      </w:r>
      <w:r>
        <w:rPr>
          <w:rFonts w:ascii="仿宋" w:hAnsi="仿宋" w:eastAsia="仿宋" w:cs="宋体"/>
          <w:sz w:val="36"/>
          <w:szCs w:val="36"/>
        </w:rPr>
        <w:t>9</w:t>
      </w:r>
      <w:r>
        <w:rPr>
          <w:rFonts w:hint="eastAsia" w:ascii="仿宋" w:hAnsi="仿宋" w:eastAsia="仿宋" w:cs="宋体"/>
          <w:sz w:val="36"/>
          <w:szCs w:val="36"/>
        </w:rPr>
        <w:t>个学科不设具体研究条目，申报者可结合自身的研究优势和学术积累，自由选题申报，但选题要能够体现学术前沿，体现理论创新，体现自身学术特色和学术优势。</w:t>
      </w:r>
    </w:p>
    <w:p>
      <w:pPr>
        <w:jc w:val="center"/>
        <w:rPr>
          <w:rFonts w:ascii="楷体" w:hAnsi="楷体" w:eastAsia="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95CD2"/>
    <w:multiLevelType w:val="multilevel"/>
    <w:tmpl w:val="12795CD2"/>
    <w:lvl w:ilvl="0" w:tentative="0">
      <w:start w:val="1"/>
      <w:numFmt w:val="decimal"/>
      <w:lvlText w:val="%1."/>
      <w:lvlJc w:val="left"/>
      <w:pPr>
        <w:ind w:left="0" w:firstLine="0"/>
      </w:pPr>
      <w:rPr>
        <w:rFonts w:hint="eastAsia"/>
      </w:rPr>
    </w:lvl>
    <w:lvl w:ilvl="1" w:tentative="0">
      <w:start w:val="1"/>
      <w:numFmt w:val="lowerLetter"/>
      <w:lvlText w:val="%2)"/>
      <w:lvlJc w:val="left"/>
      <w:pPr>
        <w:ind w:left="397" w:firstLine="0"/>
      </w:pPr>
      <w:rPr>
        <w:rFonts w:hint="eastAsia"/>
      </w:rPr>
    </w:lvl>
    <w:lvl w:ilvl="2" w:tentative="0">
      <w:start w:val="1"/>
      <w:numFmt w:val="decimal"/>
      <w:lvlText w:val="%3."/>
      <w:lvlJc w:val="left"/>
      <w:pPr>
        <w:ind w:left="794" w:firstLine="0"/>
      </w:pPr>
      <w:rPr>
        <w:rFonts w:hint="eastAsia"/>
      </w:rPr>
    </w:lvl>
    <w:lvl w:ilvl="3" w:tentative="0">
      <w:start w:val="1"/>
      <w:numFmt w:val="decimal"/>
      <w:lvlText w:val="%4."/>
      <w:lvlJc w:val="left"/>
      <w:pPr>
        <w:ind w:left="1191" w:firstLine="0"/>
      </w:pPr>
      <w:rPr>
        <w:rFonts w:hint="eastAsia"/>
      </w:rPr>
    </w:lvl>
    <w:lvl w:ilvl="4" w:tentative="0">
      <w:start w:val="1"/>
      <w:numFmt w:val="lowerLetter"/>
      <w:lvlText w:val="%5)"/>
      <w:lvlJc w:val="left"/>
      <w:pPr>
        <w:ind w:left="1588" w:firstLine="0"/>
      </w:pPr>
      <w:rPr>
        <w:rFonts w:hint="eastAsia"/>
      </w:rPr>
    </w:lvl>
    <w:lvl w:ilvl="5" w:tentative="0">
      <w:start w:val="1"/>
      <w:numFmt w:val="lowerRoman"/>
      <w:lvlText w:val="%6."/>
      <w:lvlJc w:val="right"/>
      <w:pPr>
        <w:ind w:left="1985" w:firstLine="0"/>
      </w:pPr>
      <w:rPr>
        <w:rFonts w:hint="eastAsia"/>
      </w:rPr>
    </w:lvl>
    <w:lvl w:ilvl="6" w:tentative="0">
      <w:start w:val="1"/>
      <w:numFmt w:val="decimal"/>
      <w:lvlText w:val="%7."/>
      <w:lvlJc w:val="left"/>
      <w:pPr>
        <w:ind w:left="2382" w:firstLine="0"/>
      </w:pPr>
      <w:rPr>
        <w:rFonts w:hint="eastAsia"/>
      </w:rPr>
    </w:lvl>
    <w:lvl w:ilvl="7" w:tentative="0">
      <w:start w:val="1"/>
      <w:numFmt w:val="lowerLetter"/>
      <w:lvlText w:val="%8)"/>
      <w:lvlJc w:val="left"/>
      <w:pPr>
        <w:ind w:left="2779" w:firstLine="0"/>
      </w:pPr>
      <w:rPr>
        <w:rFonts w:hint="eastAsia"/>
      </w:rPr>
    </w:lvl>
    <w:lvl w:ilvl="8" w:tentative="0">
      <w:start w:val="1"/>
      <w:numFmt w:val="lowerRoman"/>
      <w:lvlText w:val="%9."/>
      <w:lvlJc w:val="right"/>
      <w:pPr>
        <w:ind w:left="3176" w:firstLine="0"/>
      </w:pPr>
      <w:rPr>
        <w:rFonts w:hint="eastAsia"/>
      </w:rPr>
    </w:lvl>
  </w:abstractNum>
  <w:abstractNum w:abstractNumId="1">
    <w:nsid w:val="2BB56915"/>
    <w:multiLevelType w:val="multilevel"/>
    <w:tmpl w:val="2BB56915"/>
    <w:lvl w:ilvl="0" w:tentative="0">
      <w:start w:val="1"/>
      <w:numFmt w:val="decimal"/>
      <w:lvlText w:val="%1."/>
      <w:lvlJc w:val="left"/>
      <w:pPr>
        <w:ind w:left="0" w:firstLine="0"/>
      </w:pPr>
      <w:rPr>
        <w:rFonts w:hint="eastAsia"/>
      </w:rPr>
    </w:lvl>
    <w:lvl w:ilvl="1" w:tentative="0">
      <w:start w:val="1"/>
      <w:numFmt w:val="lowerLetter"/>
      <w:lvlText w:val="%2)"/>
      <w:lvlJc w:val="left"/>
      <w:pPr>
        <w:ind w:left="397" w:firstLine="0"/>
      </w:pPr>
      <w:rPr>
        <w:rFonts w:hint="eastAsia"/>
      </w:rPr>
    </w:lvl>
    <w:lvl w:ilvl="2" w:tentative="0">
      <w:start w:val="1"/>
      <w:numFmt w:val="decimal"/>
      <w:lvlText w:val="%3."/>
      <w:lvlJc w:val="left"/>
      <w:pPr>
        <w:ind w:left="794" w:firstLine="0"/>
      </w:pPr>
      <w:rPr>
        <w:rFonts w:hint="eastAsia"/>
      </w:rPr>
    </w:lvl>
    <w:lvl w:ilvl="3" w:tentative="0">
      <w:start w:val="1"/>
      <w:numFmt w:val="decimal"/>
      <w:lvlText w:val="%4."/>
      <w:lvlJc w:val="left"/>
      <w:pPr>
        <w:ind w:left="1191" w:firstLine="0"/>
      </w:pPr>
      <w:rPr>
        <w:rFonts w:hint="eastAsia"/>
      </w:rPr>
    </w:lvl>
    <w:lvl w:ilvl="4" w:tentative="0">
      <w:start w:val="1"/>
      <w:numFmt w:val="lowerLetter"/>
      <w:lvlText w:val="%5)"/>
      <w:lvlJc w:val="left"/>
      <w:pPr>
        <w:ind w:left="1588" w:firstLine="0"/>
      </w:pPr>
      <w:rPr>
        <w:rFonts w:hint="eastAsia"/>
      </w:rPr>
    </w:lvl>
    <w:lvl w:ilvl="5" w:tentative="0">
      <w:start w:val="1"/>
      <w:numFmt w:val="lowerRoman"/>
      <w:lvlText w:val="%6."/>
      <w:lvlJc w:val="right"/>
      <w:pPr>
        <w:ind w:left="1985" w:firstLine="0"/>
      </w:pPr>
      <w:rPr>
        <w:rFonts w:hint="eastAsia"/>
      </w:rPr>
    </w:lvl>
    <w:lvl w:ilvl="6" w:tentative="0">
      <w:start w:val="1"/>
      <w:numFmt w:val="decimal"/>
      <w:lvlText w:val="%7."/>
      <w:lvlJc w:val="left"/>
      <w:pPr>
        <w:ind w:left="2382" w:firstLine="0"/>
      </w:pPr>
      <w:rPr>
        <w:rFonts w:hint="eastAsia"/>
      </w:rPr>
    </w:lvl>
    <w:lvl w:ilvl="7" w:tentative="0">
      <w:start w:val="1"/>
      <w:numFmt w:val="lowerLetter"/>
      <w:lvlText w:val="%8)"/>
      <w:lvlJc w:val="left"/>
      <w:pPr>
        <w:ind w:left="2779" w:firstLine="0"/>
      </w:pPr>
      <w:rPr>
        <w:rFonts w:hint="eastAsia"/>
      </w:rPr>
    </w:lvl>
    <w:lvl w:ilvl="8" w:tentative="0">
      <w:start w:val="1"/>
      <w:numFmt w:val="lowerRoman"/>
      <w:lvlText w:val="%9."/>
      <w:lvlJc w:val="right"/>
      <w:pPr>
        <w:ind w:left="3176" w:firstLine="0"/>
      </w:pPr>
      <w:rPr>
        <w:rFonts w:hint="eastAsia"/>
      </w:rPr>
    </w:lvl>
  </w:abstractNum>
  <w:abstractNum w:abstractNumId="2">
    <w:nsid w:val="4089798B"/>
    <w:multiLevelType w:val="multilevel"/>
    <w:tmpl w:val="4089798B"/>
    <w:lvl w:ilvl="0" w:tentative="0">
      <w:start w:val="1"/>
      <w:numFmt w:val="decimal"/>
      <w:lvlText w:val="%1."/>
      <w:lvlJc w:val="left"/>
      <w:pPr>
        <w:ind w:left="0" w:firstLine="0"/>
      </w:pPr>
      <w:rPr>
        <w:rFonts w:hint="eastAsia"/>
      </w:rPr>
    </w:lvl>
    <w:lvl w:ilvl="1" w:tentative="0">
      <w:start w:val="1"/>
      <w:numFmt w:val="lowerLetter"/>
      <w:lvlText w:val="%2)"/>
      <w:lvlJc w:val="left"/>
      <w:pPr>
        <w:ind w:left="397" w:firstLine="0"/>
      </w:pPr>
      <w:rPr>
        <w:rFonts w:hint="eastAsia"/>
      </w:rPr>
    </w:lvl>
    <w:lvl w:ilvl="2" w:tentative="0">
      <w:start w:val="1"/>
      <w:numFmt w:val="decimal"/>
      <w:lvlText w:val="%3."/>
      <w:lvlJc w:val="left"/>
      <w:pPr>
        <w:ind w:left="794" w:firstLine="0"/>
      </w:pPr>
      <w:rPr>
        <w:rFonts w:hint="eastAsia"/>
      </w:rPr>
    </w:lvl>
    <w:lvl w:ilvl="3" w:tentative="0">
      <w:start w:val="1"/>
      <w:numFmt w:val="decimal"/>
      <w:lvlText w:val="%4."/>
      <w:lvlJc w:val="left"/>
      <w:pPr>
        <w:ind w:left="1191" w:firstLine="0"/>
      </w:pPr>
      <w:rPr>
        <w:rFonts w:hint="eastAsia"/>
      </w:rPr>
    </w:lvl>
    <w:lvl w:ilvl="4" w:tentative="0">
      <w:start w:val="1"/>
      <w:numFmt w:val="lowerLetter"/>
      <w:lvlText w:val="%5)"/>
      <w:lvlJc w:val="left"/>
      <w:pPr>
        <w:ind w:left="1588" w:firstLine="0"/>
      </w:pPr>
      <w:rPr>
        <w:rFonts w:hint="eastAsia"/>
      </w:rPr>
    </w:lvl>
    <w:lvl w:ilvl="5" w:tentative="0">
      <w:start w:val="1"/>
      <w:numFmt w:val="lowerRoman"/>
      <w:lvlText w:val="%6."/>
      <w:lvlJc w:val="right"/>
      <w:pPr>
        <w:ind w:left="1985" w:firstLine="0"/>
      </w:pPr>
      <w:rPr>
        <w:rFonts w:hint="eastAsia"/>
      </w:rPr>
    </w:lvl>
    <w:lvl w:ilvl="6" w:tentative="0">
      <w:start w:val="1"/>
      <w:numFmt w:val="decimal"/>
      <w:lvlText w:val="%7."/>
      <w:lvlJc w:val="left"/>
      <w:pPr>
        <w:ind w:left="2382" w:firstLine="0"/>
      </w:pPr>
      <w:rPr>
        <w:rFonts w:hint="eastAsia"/>
      </w:rPr>
    </w:lvl>
    <w:lvl w:ilvl="7" w:tentative="0">
      <w:start w:val="1"/>
      <w:numFmt w:val="lowerLetter"/>
      <w:lvlText w:val="%8)"/>
      <w:lvlJc w:val="left"/>
      <w:pPr>
        <w:ind w:left="2779" w:firstLine="0"/>
      </w:pPr>
      <w:rPr>
        <w:rFonts w:hint="eastAsia"/>
      </w:rPr>
    </w:lvl>
    <w:lvl w:ilvl="8" w:tentative="0">
      <w:start w:val="1"/>
      <w:numFmt w:val="lowerRoman"/>
      <w:lvlText w:val="%9."/>
      <w:lvlJc w:val="right"/>
      <w:pPr>
        <w:ind w:left="3176" w:firstLine="0"/>
      </w:pPr>
      <w:rPr>
        <w:rFonts w:hint="eastAsia"/>
      </w:rPr>
    </w:lvl>
  </w:abstractNum>
  <w:abstractNum w:abstractNumId="3">
    <w:nsid w:val="5FF46B50"/>
    <w:multiLevelType w:val="multilevel"/>
    <w:tmpl w:val="5FF46B50"/>
    <w:lvl w:ilvl="0" w:tentative="0">
      <w:start w:val="1"/>
      <w:numFmt w:val="decimal"/>
      <w:lvlText w:val="%1."/>
      <w:lvlJc w:val="left"/>
      <w:pPr>
        <w:ind w:left="0" w:firstLine="0"/>
      </w:pPr>
      <w:rPr>
        <w:rFonts w:hint="eastAsia"/>
      </w:rPr>
    </w:lvl>
    <w:lvl w:ilvl="1" w:tentative="0">
      <w:start w:val="1"/>
      <w:numFmt w:val="lowerLetter"/>
      <w:lvlText w:val="%2)"/>
      <w:lvlJc w:val="left"/>
      <w:pPr>
        <w:ind w:left="397" w:firstLine="0"/>
      </w:pPr>
      <w:rPr>
        <w:rFonts w:hint="eastAsia"/>
      </w:rPr>
    </w:lvl>
    <w:lvl w:ilvl="2" w:tentative="0">
      <w:start w:val="1"/>
      <w:numFmt w:val="decimal"/>
      <w:lvlText w:val="%3."/>
      <w:lvlJc w:val="left"/>
      <w:pPr>
        <w:ind w:left="794" w:firstLine="0"/>
      </w:pPr>
      <w:rPr>
        <w:rFonts w:hint="eastAsia"/>
      </w:rPr>
    </w:lvl>
    <w:lvl w:ilvl="3" w:tentative="0">
      <w:start w:val="1"/>
      <w:numFmt w:val="decimal"/>
      <w:lvlText w:val="%4."/>
      <w:lvlJc w:val="left"/>
      <w:pPr>
        <w:ind w:left="1191" w:firstLine="0"/>
      </w:pPr>
      <w:rPr>
        <w:rFonts w:hint="eastAsia"/>
      </w:rPr>
    </w:lvl>
    <w:lvl w:ilvl="4" w:tentative="0">
      <w:start w:val="1"/>
      <w:numFmt w:val="lowerLetter"/>
      <w:lvlText w:val="%5)"/>
      <w:lvlJc w:val="left"/>
      <w:pPr>
        <w:ind w:left="1588" w:firstLine="0"/>
      </w:pPr>
      <w:rPr>
        <w:rFonts w:hint="eastAsia"/>
      </w:rPr>
    </w:lvl>
    <w:lvl w:ilvl="5" w:tentative="0">
      <w:start w:val="1"/>
      <w:numFmt w:val="lowerRoman"/>
      <w:lvlText w:val="%6."/>
      <w:lvlJc w:val="right"/>
      <w:pPr>
        <w:ind w:left="1985" w:firstLine="0"/>
      </w:pPr>
      <w:rPr>
        <w:rFonts w:hint="eastAsia"/>
      </w:rPr>
    </w:lvl>
    <w:lvl w:ilvl="6" w:tentative="0">
      <w:start w:val="1"/>
      <w:numFmt w:val="decimal"/>
      <w:lvlText w:val="%7."/>
      <w:lvlJc w:val="left"/>
      <w:pPr>
        <w:ind w:left="2382" w:firstLine="0"/>
      </w:pPr>
      <w:rPr>
        <w:rFonts w:hint="eastAsia"/>
      </w:rPr>
    </w:lvl>
    <w:lvl w:ilvl="7" w:tentative="0">
      <w:start w:val="1"/>
      <w:numFmt w:val="lowerLetter"/>
      <w:lvlText w:val="%8)"/>
      <w:lvlJc w:val="left"/>
      <w:pPr>
        <w:ind w:left="2779" w:firstLine="0"/>
      </w:pPr>
      <w:rPr>
        <w:rFonts w:hint="eastAsia"/>
      </w:rPr>
    </w:lvl>
    <w:lvl w:ilvl="8" w:tentative="0">
      <w:start w:val="1"/>
      <w:numFmt w:val="lowerRoman"/>
      <w:lvlText w:val="%9."/>
      <w:lvlJc w:val="right"/>
      <w:pPr>
        <w:ind w:left="3176" w:firstLine="0"/>
      </w:pPr>
      <w:rPr>
        <w:rFonts w:hint="eastAsia"/>
      </w:rPr>
    </w:lvl>
  </w:abstractNum>
  <w:abstractNum w:abstractNumId="4">
    <w:nsid w:val="63AC06E3"/>
    <w:multiLevelType w:val="multilevel"/>
    <w:tmpl w:val="63AC06E3"/>
    <w:lvl w:ilvl="0" w:tentative="0">
      <w:start w:val="1"/>
      <w:numFmt w:val="decimal"/>
      <w:lvlText w:val="%1."/>
      <w:lvlJc w:val="left"/>
      <w:pPr>
        <w:ind w:left="0" w:firstLine="0"/>
      </w:pPr>
      <w:rPr>
        <w:rFonts w:hint="eastAsia"/>
      </w:rPr>
    </w:lvl>
    <w:lvl w:ilvl="1" w:tentative="0">
      <w:start w:val="1"/>
      <w:numFmt w:val="lowerLetter"/>
      <w:lvlText w:val="%2)"/>
      <w:lvlJc w:val="left"/>
      <w:pPr>
        <w:ind w:left="397" w:firstLine="0"/>
      </w:pPr>
      <w:rPr>
        <w:rFonts w:hint="eastAsia"/>
      </w:rPr>
    </w:lvl>
    <w:lvl w:ilvl="2" w:tentative="0">
      <w:start w:val="1"/>
      <w:numFmt w:val="decimal"/>
      <w:lvlText w:val="%3."/>
      <w:lvlJc w:val="left"/>
      <w:pPr>
        <w:ind w:left="710" w:firstLine="0"/>
      </w:pPr>
      <w:rPr>
        <w:rFonts w:hint="eastAsia"/>
      </w:rPr>
    </w:lvl>
    <w:lvl w:ilvl="3" w:tentative="0">
      <w:start w:val="1"/>
      <w:numFmt w:val="decimal"/>
      <w:lvlText w:val="%4."/>
      <w:lvlJc w:val="left"/>
      <w:pPr>
        <w:ind w:left="1191" w:firstLine="0"/>
      </w:pPr>
      <w:rPr>
        <w:rFonts w:hint="eastAsia"/>
      </w:rPr>
    </w:lvl>
    <w:lvl w:ilvl="4" w:tentative="0">
      <w:start w:val="1"/>
      <w:numFmt w:val="lowerLetter"/>
      <w:lvlText w:val="%5)"/>
      <w:lvlJc w:val="left"/>
      <w:pPr>
        <w:ind w:left="1588" w:firstLine="0"/>
      </w:pPr>
      <w:rPr>
        <w:rFonts w:hint="eastAsia"/>
      </w:rPr>
    </w:lvl>
    <w:lvl w:ilvl="5" w:tentative="0">
      <w:start w:val="1"/>
      <w:numFmt w:val="lowerRoman"/>
      <w:lvlText w:val="%6."/>
      <w:lvlJc w:val="right"/>
      <w:pPr>
        <w:ind w:left="1985" w:firstLine="0"/>
      </w:pPr>
      <w:rPr>
        <w:rFonts w:hint="eastAsia"/>
      </w:rPr>
    </w:lvl>
    <w:lvl w:ilvl="6" w:tentative="0">
      <w:start w:val="1"/>
      <w:numFmt w:val="decimal"/>
      <w:lvlText w:val="%7."/>
      <w:lvlJc w:val="left"/>
      <w:pPr>
        <w:ind w:left="2382" w:firstLine="0"/>
      </w:pPr>
      <w:rPr>
        <w:rFonts w:hint="eastAsia"/>
      </w:rPr>
    </w:lvl>
    <w:lvl w:ilvl="7" w:tentative="0">
      <w:start w:val="1"/>
      <w:numFmt w:val="lowerLetter"/>
      <w:lvlText w:val="%8)"/>
      <w:lvlJc w:val="left"/>
      <w:pPr>
        <w:ind w:left="2779" w:firstLine="0"/>
      </w:pPr>
      <w:rPr>
        <w:rFonts w:hint="eastAsia"/>
      </w:rPr>
    </w:lvl>
    <w:lvl w:ilvl="8" w:tentative="0">
      <w:start w:val="1"/>
      <w:numFmt w:val="lowerRoman"/>
      <w:lvlText w:val="%9."/>
      <w:lvlJc w:val="right"/>
      <w:pPr>
        <w:ind w:left="3176" w:firstLine="0"/>
      </w:pPr>
      <w:rPr>
        <w:rFonts w:hint="eastAsia"/>
      </w:rPr>
    </w:lvl>
  </w:abstractNum>
  <w:abstractNum w:abstractNumId="5">
    <w:nsid w:val="6C8E40E0"/>
    <w:multiLevelType w:val="multilevel"/>
    <w:tmpl w:val="6C8E40E0"/>
    <w:lvl w:ilvl="0" w:tentative="0">
      <w:start w:val="1"/>
      <w:numFmt w:val="decimal"/>
      <w:lvlText w:val="%1."/>
      <w:lvlJc w:val="left"/>
      <w:pPr>
        <w:ind w:left="1290" w:hanging="420"/>
      </w:pPr>
    </w:lvl>
    <w:lvl w:ilvl="1" w:tentative="0">
      <w:start w:val="1"/>
      <w:numFmt w:val="lowerLetter"/>
      <w:lvlText w:val="%2)"/>
      <w:lvlJc w:val="left"/>
      <w:pPr>
        <w:ind w:left="1710" w:hanging="420"/>
      </w:pPr>
    </w:lvl>
    <w:lvl w:ilvl="2" w:tentative="0">
      <w:start w:val="1"/>
      <w:numFmt w:val="lowerRoman"/>
      <w:lvlText w:val="%3."/>
      <w:lvlJc w:val="right"/>
      <w:pPr>
        <w:ind w:left="2130" w:hanging="420"/>
      </w:pPr>
    </w:lvl>
    <w:lvl w:ilvl="3" w:tentative="0">
      <w:start w:val="1"/>
      <w:numFmt w:val="decimal"/>
      <w:lvlText w:val="%4."/>
      <w:lvlJc w:val="left"/>
      <w:pPr>
        <w:ind w:left="2550" w:hanging="420"/>
      </w:pPr>
    </w:lvl>
    <w:lvl w:ilvl="4" w:tentative="0">
      <w:start w:val="1"/>
      <w:numFmt w:val="lowerLetter"/>
      <w:lvlText w:val="%5)"/>
      <w:lvlJc w:val="left"/>
      <w:pPr>
        <w:ind w:left="2970" w:hanging="420"/>
      </w:pPr>
    </w:lvl>
    <w:lvl w:ilvl="5" w:tentative="0">
      <w:start w:val="1"/>
      <w:numFmt w:val="lowerRoman"/>
      <w:lvlText w:val="%6."/>
      <w:lvlJc w:val="right"/>
      <w:pPr>
        <w:ind w:left="3390" w:hanging="420"/>
      </w:pPr>
    </w:lvl>
    <w:lvl w:ilvl="6" w:tentative="0">
      <w:start w:val="1"/>
      <w:numFmt w:val="decimal"/>
      <w:lvlText w:val="%7."/>
      <w:lvlJc w:val="left"/>
      <w:pPr>
        <w:ind w:left="3810" w:hanging="420"/>
      </w:pPr>
    </w:lvl>
    <w:lvl w:ilvl="7" w:tentative="0">
      <w:start w:val="1"/>
      <w:numFmt w:val="lowerLetter"/>
      <w:lvlText w:val="%8)"/>
      <w:lvlJc w:val="left"/>
      <w:pPr>
        <w:ind w:left="4230" w:hanging="420"/>
      </w:pPr>
    </w:lvl>
    <w:lvl w:ilvl="8" w:tentative="0">
      <w:start w:val="1"/>
      <w:numFmt w:val="lowerRoman"/>
      <w:lvlText w:val="%9."/>
      <w:lvlJc w:val="right"/>
      <w:pPr>
        <w:ind w:left="4650" w:hanging="420"/>
      </w:pPr>
    </w:lvl>
  </w:abstractNum>
  <w:abstractNum w:abstractNumId="6">
    <w:nsid w:val="6F2A663E"/>
    <w:multiLevelType w:val="multilevel"/>
    <w:tmpl w:val="6F2A663E"/>
    <w:lvl w:ilvl="0" w:tentative="0">
      <w:start w:val="1"/>
      <w:numFmt w:val="decimal"/>
      <w:lvlText w:val="%1."/>
      <w:lvlJc w:val="left"/>
      <w:pPr>
        <w:ind w:left="0" w:firstLine="0"/>
      </w:pPr>
      <w:rPr>
        <w:rFonts w:hint="eastAsia"/>
      </w:rPr>
    </w:lvl>
    <w:lvl w:ilvl="1" w:tentative="0">
      <w:start w:val="1"/>
      <w:numFmt w:val="lowerLetter"/>
      <w:lvlText w:val="%2)"/>
      <w:lvlJc w:val="left"/>
      <w:pPr>
        <w:ind w:left="397" w:firstLine="0"/>
      </w:pPr>
      <w:rPr>
        <w:rFonts w:hint="eastAsia"/>
      </w:rPr>
    </w:lvl>
    <w:lvl w:ilvl="2" w:tentative="0">
      <w:start w:val="1"/>
      <w:numFmt w:val="decimal"/>
      <w:lvlText w:val="%3."/>
      <w:lvlJc w:val="left"/>
      <w:pPr>
        <w:ind w:left="993" w:firstLine="0"/>
      </w:pPr>
      <w:rPr>
        <w:rFonts w:hint="eastAsia"/>
      </w:rPr>
    </w:lvl>
    <w:lvl w:ilvl="3" w:tentative="0">
      <w:start w:val="1"/>
      <w:numFmt w:val="decimal"/>
      <w:lvlText w:val="%4."/>
      <w:lvlJc w:val="left"/>
      <w:pPr>
        <w:ind w:left="1191" w:firstLine="0"/>
      </w:pPr>
      <w:rPr>
        <w:rFonts w:hint="eastAsia"/>
      </w:rPr>
    </w:lvl>
    <w:lvl w:ilvl="4" w:tentative="0">
      <w:start w:val="1"/>
      <w:numFmt w:val="lowerLetter"/>
      <w:lvlText w:val="%5)"/>
      <w:lvlJc w:val="left"/>
      <w:pPr>
        <w:ind w:left="1588" w:firstLine="0"/>
      </w:pPr>
      <w:rPr>
        <w:rFonts w:hint="eastAsia"/>
      </w:rPr>
    </w:lvl>
    <w:lvl w:ilvl="5" w:tentative="0">
      <w:start w:val="1"/>
      <w:numFmt w:val="lowerRoman"/>
      <w:lvlText w:val="%6."/>
      <w:lvlJc w:val="right"/>
      <w:pPr>
        <w:ind w:left="1985" w:firstLine="0"/>
      </w:pPr>
      <w:rPr>
        <w:rFonts w:hint="eastAsia"/>
      </w:rPr>
    </w:lvl>
    <w:lvl w:ilvl="6" w:tentative="0">
      <w:start w:val="1"/>
      <w:numFmt w:val="decimal"/>
      <w:lvlText w:val="%7."/>
      <w:lvlJc w:val="left"/>
      <w:pPr>
        <w:ind w:left="2382" w:firstLine="0"/>
      </w:pPr>
      <w:rPr>
        <w:rFonts w:hint="eastAsia"/>
      </w:rPr>
    </w:lvl>
    <w:lvl w:ilvl="7" w:tentative="0">
      <w:start w:val="1"/>
      <w:numFmt w:val="lowerLetter"/>
      <w:lvlText w:val="%8)"/>
      <w:lvlJc w:val="left"/>
      <w:pPr>
        <w:ind w:left="2779" w:firstLine="0"/>
      </w:pPr>
      <w:rPr>
        <w:rFonts w:hint="eastAsia"/>
      </w:rPr>
    </w:lvl>
    <w:lvl w:ilvl="8" w:tentative="0">
      <w:start w:val="1"/>
      <w:numFmt w:val="lowerRoman"/>
      <w:lvlText w:val="%9."/>
      <w:lvlJc w:val="right"/>
      <w:pPr>
        <w:ind w:left="3176" w:firstLine="0"/>
      </w:pPr>
      <w:rPr>
        <w:rFonts w:hint="eastAsia"/>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50"/>
    <w:rsid w:val="00005680"/>
    <w:rsid w:val="000514AF"/>
    <w:rsid w:val="00057172"/>
    <w:rsid w:val="000579A0"/>
    <w:rsid w:val="000733E8"/>
    <w:rsid w:val="00121A87"/>
    <w:rsid w:val="00172EB4"/>
    <w:rsid w:val="00192D01"/>
    <w:rsid w:val="001A52E4"/>
    <w:rsid w:val="001A5CCD"/>
    <w:rsid w:val="001C714F"/>
    <w:rsid w:val="0021328B"/>
    <w:rsid w:val="002148B1"/>
    <w:rsid w:val="002200C3"/>
    <w:rsid w:val="002B5406"/>
    <w:rsid w:val="002C338B"/>
    <w:rsid w:val="002C67BA"/>
    <w:rsid w:val="003678EF"/>
    <w:rsid w:val="0038317B"/>
    <w:rsid w:val="004C4F0F"/>
    <w:rsid w:val="00522F64"/>
    <w:rsid w:val="00545A62"/>
    <w:rsid w:val="005655AA"/>
    <w:rsid w:val="00673193"/>
    <w:rsid w:val="00691C68"/>
    <w:rsid w:val="00730F27"/>
    <w:rsid w:val="00783087"/>
    <w:rsid w:val="007C5872"/>
    <w:rsid w:val="0086598C"/>
    <w:rsid w:val="008A02B2"/>
    <w:rsid w:val="008E4270"/>
    <w:rsid w:val="008E7E7D"/>
    <w:rsid w:val="008F7894"/>
    <w:rsid w:val="00930102"/>
    <w:rsid w:val="0098695C"/>
    <w:rsid w:val="009F0B1D"/>
    <w:rsid w:val="00A069AF"/>
    <w:rsid w:val="00A102D5"/>
    <w:rsid w:val="00A152CC"/>
    <w:rsid w:val="00A601BE"/>
    <w:rsid w:val="00AB5E30"/>
    <w:rsid w:val="00AC6779"/>
    <w:rsid w:val="00AF6E80"/>
    <w:rsid w:val="00B50902"/>
    <w:rsid w:val="00B7720C"/>
    <w:rsid w:val="00B84C6A"/>
    <w:rsid w:val="00BC64F9"/>
    <w:rsid w:val="00BE0E07"/>
    <w:rsid w:val="00C23A04"/>
    <w:rsid w:val="00C93F21"/>
    <w:rsid w:val="00CA3BB8"/>
    <w:rsid w:val="00D3196F"/>
    <w:rsid w:val="00D503D0"/>
    <w:rsid w:val="00D6246A"/>
    <w:rsid w:val="00D85CD3"/>
    <w:rsid w:val="00D95C04"/>
    <w:rsid w:val="00DA1253"/>
    <w:rsid w:val="00DA5045"/>
    <w:rsid w:val="00DC2F79"/>
    <w:rsid w:val="00E445E2"/>
    <w:rsid w:val="00E47438"/>
    <w:rsid w:val="00E50ACE"/>
    <w:rsid w:val="00E53C39"/>
    <w:rsid w:val="00E578BA"/>
    <w:rsid w:val="00E9098E"/>
    <w:rsid w:val="00F236A3"/>
    <w:rsid w:val="00F369F8"/>
    <w:rsid w:val="00FC0FA0"/>
    <w:rsid w:val="00FC3186"/>
    <w:rsid w:val="00FD6450"/>
    <w:rsid w:val="6E30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 w:type="paragraph" w:styleId="11">
    <w:name w:val="List Paragraph"/>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6612</Words>
  <Characters>6621</Characters>
  <Lines>49</Lines>
  <Paragraphs>14</Paragraphs>
  <TotalTime>4</TotalTime>
  <ScaleCrop>false</ScaleCrop>
  <LinksUpToDate>false</LinksUpToDate>
  <CharactersWithSpaces>6632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2021-04-19T07:13:00Z</dcterms:created>
  <dc:creator>张凤伟</dc:creator>
  <cp:lastModifiedBy>Administrator</cp:lastModifiedBy>
  <dcterms:modified xsi:type="dcterms:W3CDTF">2023-06-13T07:06:47Z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B3AF5FEEDA4E4B4EA789CEC687A53EB1_13</vt:lpwstr>
  </property>
</Properties>
</file>